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02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05"/>
        <w:gridCol w:w="1417"/>
        <w:gridCol w:w="3815"/>
        <w:gridCol w:w="1140"/>
        <w:gridCol w:w="1054"/>
        <w:gridCol w:w="420"/>
        <w:gridCol w:w="1451"/>
      </w:tblGrid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mq01exn020a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Retroexcavadora hidráulica sobre neumáticos, de 105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50,230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0,654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32,86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mq01exn050c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Retroexcavadora sobre neumáticos, de 85 kW, con martillo rompedor.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75,920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232,835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17.676,83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mq01mot010b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Motoniveladora de 154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84,790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0,419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35,62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mq01pan010a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Pala cargadora sobre neumáticos de 120 kW/1,9 m³.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45,550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0,871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39,49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mq01ret010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Miniretrocargadora sobre neumáticos de 15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47,820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33,534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1.603,97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mq01ret020b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Retrocargadora sobre neumáticos, de 70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41,490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0,300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12,42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mq02cia020j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cisterna, de 8 m³ de capacidad.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40,460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1,571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63,47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mq02rod010d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Bandeja vibrante de guiado manual, de 300 kg, anchura de trabajo 70 cm, reversible.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7,210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10,340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74,36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mq02rop020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Pisón vibrante de guiado manual, de 80 kg, con placa de 30x30 cm, tipo rana.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3,530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15,422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54,77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mq04cab010c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basculante de 12 t de carga, de 162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45,380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0,629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28,49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mq04cab010e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basculante de 20 t de carga, de 213 kW.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47,710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55,180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2.634,40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mq04cag010a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con grúa de hasta 6 t.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50,020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1,616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80,84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mq04cag010b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con grúa de hasta 10 t.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63,440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0,612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38,82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mq04cap010a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para transporte, de 12 t de carga.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39,650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16,188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641,94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mq04dua020b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Dumper de descarga frontal de 2 t de carga útil.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9,380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10,407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97,50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mq04res010bka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de hormigones, morteros y prefabricados, producidos en obras de construcción y/o demolición, colocado en obra a pie de carga, incluso servicio de entrega, alquiler y canon de vertido p</w:t>
            </w:r>
            <w:r>
              <w:rPr>
                <w:rFonts w:ascii="Century Gothic" w:hAnsi="Century Gothic" w:cs="Century Gothic"/>
                <w:sz w:val="16"/>
              </w:rPr>
              <w:t>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126,760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84,320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10.688,80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mq04res010cka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de ladrillos, tejas y materiales cerámicos, producidos en obras de construcción y/o demolición, colocado en obra a pie de carga, incluso servicio de entrega, alquiler y canon de vertid</w:t>
            </w:r>
            <w:r>
              <w:rPr>
                <w:rFonts w:ascii="Century Gothic" w:hAnsi="Century Gothic" w:cs="Century Gothic"/>
                <w:sz w:val="16"/>
              </w:rPr>
              <w:t>o por entrega de residuos.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126,760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21,080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2.672,20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mq04res010dka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mezcla sin clasificar de residuos inertes producidos en obras de construcción y/o demolición, colocado en obra a pie de carga, incluso servicio de entrega, alquiler y canon de vertido por entrega de re</w:t>
            </w:r>
            <w:r>
              <w:rPr>
                <w:rFonts w:ascii="Century Gothic" w:hAnsi="Century Gothic" w:cs="Century Gothic"/>
                <w:sz w:val="16"/>
              </w:rPr>
              <w:t>siduos. Incluye gasto 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235,290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40,052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9.424,00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mq04res010eka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de madera producidos en obras de construcción y/o demolición, colocado en obra a pie de carga, incluso servicio de entrega, alquiler y canon de vertido por entrega de residuos. Incluye</w:t>
            </w:r>
            <w:r>
              <w:rPr>
                <w:rFonts w:ascii="Century Gothic" w:hAnsi="Century Gothic" w:cs="Century Gothic"/>
                <w:sz w:val="16"/>
              </w:rPr>
              <w:t xml:space="preserve"> gasto 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189,150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2,108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398,72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lastRenderedPageBreak/>
              <w:t>20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mq04res010gka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plásticos producidos en obras de construcción y/o demolición, colocado en obra a pie de carga, incluso servicio de entrega, alquiler y canon de vertido por entrega de residuos. Incluye</w:t>
            </w:r>
            <w:r>
              <w:rPr>
                <w:rFonts w:ascii="Century Gothic" w:hAnsi="Century Gothic" w:cs="Century Gothic"/>
                <w:sz w:val="16"/>
              </w:rPr>
              <w:t xml:space="preserve"> gasto 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237,540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1,020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242,29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mq04res010hka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de papel y cartón, producidos en obras de construcción y/o demolición, colocado en obra a pie de carga, incluso servicio de entrega, alquiler y canon de vertido por entrega de residuos</w:t>
            </w:r>
            <w:r>
              <w:rPr>
                <w:rFonts w:ascii="Century Gothic" w:hAnsi="Century Gothic" w:cs="Century Gothic"/>
                <w:sz w:val="16"/>
              </w:rPr>
              <w:t>. Incluye gasto 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183,580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1,020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187,25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mq04res010ika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Carga y cambio de contenedor de 5 m³, para recogida de residuos inertes metálicos producidos en obras de construcción y/o demolición, colocado en obra a pie de carga, incluso servicio de entrega, alquiler y canon de vertido por entrega de residuos. Incluye</w:t>
            </w:r>
            <w:r>
              <w:rPr>
                <w:rFonts w:ascii="Century Gothic" w:hAnsi="Century Gothic" w:cs="Century Gothic"/>
                <w:sz w:val="16"/>
              </w:rPr>
              <w:t xml:space="preserve"> gasto 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189,150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3,162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598,08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mq04res010laa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 xml:space="preserve">Carga y cambio de contenedor de 1 m³, para recogida de residuos peligrosos producidos en obras de construcción y/o demolición, colocado en obra a pie de carga, incluso servicio de entrega, alquiler y canon de vertido por entrega de residuos. Incluye gasto </w:t>
            </w:r>
            <w:r>
              <w:rPr>
                <w:rFonts w:ascii="Century Gothic" w:hAnsi="Century Gothic" w:cs="Century Gothic"/>
                <w:sz w:val="16"/>
              </w:rPr>
              <w:t>de licencias, tasas por contenedores por ocupación de la vía pública y cánones, según normativa medioambiental en vigor.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302,190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1,020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Ud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308,23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mq04res035a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Canon de vertido por entrega de tierras procedentes de la excavación, en vertedero específico, instalación de tratamiento de residuos de mampostero de albañil de construcción y demolición externa a la obra o centro de valorización o eliminación de residuos</w:t>
            </w:r>
            <w:r>
              <w:rPr>
                <w:rFonts w:ascii="Century Gothic" w:hAnsi="Century Gothic" w:cs="Century Gothic"/>
                <w:sz w:val="16"/>
              </w:rPr>
              <w:t>. Incluso p.p. de medios auxiliares.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2,160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453,900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m³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979,00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mq05mai030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Martillo neumático.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4,250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154,013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654,07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mq05mai040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Martillo eléctrico.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3,190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24,875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79,60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mq05pdm010a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Compresor portátil eléctrico 2 m³/min de caudal.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3,970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71,340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283,22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mq05pdm110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Compresor portátil diesel media presión 10 m³/min.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8,080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37,439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302,79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mq05per010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Perforadora con corona diamantada y soporte, por vía húmeda.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28,300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6,000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168,00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mq06bhe010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Camión bomba estacionado en obra, para bombeo de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192,230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21,238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4.078,56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31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mq06cel010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Equipo para fabricación y bombeo de hormigón celular a base de cemento y aditivo plastificante-aireante, de 12 m³/h.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25,260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10,632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269,34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32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mq06cor020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Equipo para corte de juntas en soleras de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10,720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26,706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286,23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33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mq06fra010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Fratasadora mecánica de hormigón.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5,720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64,467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368,55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lastRenderedPageBreak/>
              <w:t>34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mq06hor010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Hormigonera.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1,890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6,942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13,82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35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mq06mms010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Mezclador continuo con silo, para mortero industrial en seco, suministrado a granel.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1,950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158,751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312,00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36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mq06pym010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Mezcladora-bombeadora para morteros y yesos proyectados, de 3 m³/h.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8,580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147,870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1.267,90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37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mq06pym020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Mezcladora-bombeadora para morteros autonivelantes.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10,990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55,868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611,26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38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mq06vib020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Regla vibrante de 3 m.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5,270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68,666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361,44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39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mq08sol010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Equipo de oxicorte, con acetileno como combustible y oxígeno como comburente.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8,570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285,918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2.450,81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40</w:t>
            </w:r>
          </w:p>
        </w:tc>
        <w:tc>
          <w:tcPr>
            <w:tcW w:w="1417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mq08sol020</w:t>
            </w:r>
          </w:p>
        </w:tc>
        <w:tc>
          <w:tcPr>
            <w:tcW w:w="3815" w:type="dxa"/>
            <w:tcBorders>
              <w:left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Equipo y elementos auxiliares para soldadura eléctrica.</w:t>
            </w:r>
          </w:p>
        </w:tc>
        <w:tc>
          <w:tcPr>
            <w:tcW w:w="1140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3,240</w:t>
            </w:r>
          </w:p>
        </w:tc>
        <w:tc>
          <w:tcPr>
            <w:tcW w:w="1054" w:type="dxa"/>
            <w:tcBorders>
              <w:lef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8,477</w:t>
            </w:r>
          </w:p>
        </w:tc>
        <w:tc>
          <w:tcPr>
            <w:tcW w:w="420" w:type="dxa"/>
            <w:tcBorders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27,88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</w:tcPr>
          <w:p w:rsidR="00CE2FA7" w:rsidRDefault="007E4336">
            <w:pPr>
              <w:spacing w:after="120" w:line="240" w:lineRule="auto"/>
              <w:jc w:val="center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41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mq09sie010</w:t>
            </w:r>
          </w:p>
        </w:tc>
        <w:tc>
          <w:tcPr>
            <w:tcW w:w="3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2FA7" w:rsidRDefault="007E4336">
            <w:pPr>
              <w:spacing w:after="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Motosierra a gasolina, de 50 cm de espada y 2 kW de potencia.</w:t>
            </w:r>
          </w:p>
        </w:tc>
        <w:tc>
          <w:tcPr>
            <w:tcW w:w="11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3,290</w:t>
            </w:r>
          </w:p>
        </w:tc>
        <w:tc>
          <w:tcPr>
            <w:tcW w:w="1054" w:type="dxa"/>
            <w:tcBorders>
              <w:left w:val="single" w:sz="2" w:space="0" w:color="000000"/>
              <w:bottom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1,590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rPr>
                <w:rFonts w:ascii="Century Gothic" w:hAnsi="Century Gothic" w:cs="Century Gothic"/>
                <w:sz w:val="16"/>
              </w:rPr>
            </w:pPr>
            <w:r>
              <w:rPr>
                <w:rFonts w:ascii="Century Gothic" w:hAnsi="Century Gothic" w:cs="Century Gothic"/>
                <w:sz w:val="16"/>
              </w:rPr>
              <w:t>h</w:t>
            </w:r>
          </w:p>
        </w:tc>
        <w:tc>
          <w:tcPr>
            <w:tcW w:w="14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bottom"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5,24</w:t>
            </w:r>
          </w:p>
        </w:tc>
      </w:tr>
      <w:tr w:rsidR="00CE2FA7">
        <w:trPr>
          <w:cantSplit/>
        </w:trPr>
        <w:tc>
          <w:tcPr>
            <w:tcW w:w="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E2FA7" w:rsidRDefault="007E433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2" w:space="0" w:color="000000"/>
              <w:bottom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E2FA7" w:rsidRDefault="007E433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381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CE2FA7" w:rsidRDefault="007E4336">
            <w:pPr>
              <w:spacing w:after="0" w:line="240" w:lineRule="auto"/>
              <w:rPr>
                <w:rFonts w:ascii="Verdana" w:hAnsi="Verdana" w:cs="Verdana"/>
                <w:sz w:val="24"/>
              </w:rPr>
            </w:pPr>
            <w:r>
              <w:rPr>
                <w:rFonts w:ascii="Verdana" w:hAnsi="Verdana" w:cs="Verdana"/>
                <w:sz w:val="24"/>
              </w:rPr>
              <w:t xml:space="preserve"> </w:t>
            </w:r>
          </w:p>
        </w:tc>
        <w:tc>
          <w:tcPr>
            <w:tcW w:w="26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0E0E0"/>
            <w:noWrap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Total Maquinaria</w:t>
            </w:r>
          </w:p>
        </w:tc>
        <w:tc>
          <w:tcPr>
            <w:tcW w:w="1451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E0E0"/>
            <w:noWrap/>
          </w:tcPr>
          <w:p w:rsidR="00CE2FA7" w:rsidRDefault="007E4336">
            <w:pPr>
              <w:spacing w:after="120" w:line="240" w:lineRule="auto"/>
              <w:jc w:val="right"/>
              <w:rPr>
                <w:rFonts w:ascii="Century Gothic" w:hAnsi="Century Gothic" w:cs="Century Gothic"/>
                <w:b/>
                <w:sz w:val="16"/>
              </w:rPr>
            </w:pPr>
            <w:r>
              <w:rPr>
                <w:rFonts w:ascii="Century Gothic" w:hAnsi="Century Gothic" w:cs="Century Gothic"/>
                <w:b/>
                <w:sz w:val="16"/>
              </w:rPr>
              <w:t>60.155,06</w:t>
            </w:r>
          </w:p>
        </w:tc>
      </w:tr>
    </w:tbl>
    <w:p w:rsidR="00CE2FA7" w:rsidRDefault="00CE2FA7">
      <w:pPr>
        <w:spacing w:after="0" w:line="2" w:lineRule="auto"/>
      </w:pPr>
    </w:p>
    <w:p w:rsidR="00000000" w:rsidRDefault="007E4336"/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0F0F86" w:rsidRPr="00EC7A68" w:rsidTr="00A24569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F0F86" w:rsidRPr="00EC7A68" w:rsidRDefault="000F0F86" w:rsidP="00A24569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0F0F86" w:rsidRPr="00EC7A68" w:rsidRDefault="000F0F86" w:rsidP="00A24569">
            <w:pPr>
              <w:keepNext/>
              <w:spacing w:after="0" w:line="240" w:lineRule="auto"/>
              <w:rPr>
                <w:rFonts w:ascii="Verdana" w:hAnsi="Verdana"/>
              </w:rPr>
            </w:pPr>
          </w:p>
          <w:p w:rsidR="000F0F86" w:rsidRPr="00EC7A68" w:rsidRDefault="000F0F86" w:rsidP="00A24569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0F0F86" w:rsidRPr="00EC7A68" w:rsidTr="00A24569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0F0F86" w:rsidRPr="00EC7A68" w:rsidRDefault="000F0F86" w:rsidP="00A24569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0F0F86" w:rsidRPr="00EC7A68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0F0F86" w:rsidRPr="001F3C32" w:rsidRDefault="000F0F86" w:rsidP="00A24569">
            <w:pPr>
              <w:spacing w:after="0" w:line="240" w:lineRule="auto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 wp14:anchorId="0FA9578F" wp14:editId="6E90C351">
                  <wp:extent cx="1600200" cy="581025"/>
                  <wp:effectExtent l="19050" t="0" r="0" b="0"/>
                  <wp:docPr id="129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0F8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0F0F8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0F0F86" w:rsidRPr="001F3C32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0F0F86" w:rsidRPr="001F3C32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0F0F86" w:rsidRPr="001F3C32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0F0F86" w:rsidRPr="00EB3FB4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0F0F86" w:rsidRPr="00EB3FB4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0F0F86" w:rsidRPr="00EC7A68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0F0F86" w:rsidRPr="0069716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 wp14:anchorId="42A1E75F" wp14:editId="5836058C">
                  <wp:extent cx="991235" cy="1035685"/>
                  <wp:effectExtent l="0" t="0" r="0" b="0"/>
                  <wp:docPr id="130" name="Imagen 130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0F86" w:rsidRPr="00697166" w:rsidRDefault="000F0F86" w:rsidP="00A24569">
            <w:pPr>
              <w:spacing w:after="0" w:line="240" w:lineRule="auto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0F0F86" w:rsidRPr="0069716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0F0F86" w:rsidRPr="0069716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0F0F86" w:rsidRPr="00697166" w:rsidRDefault="000F0F86" w:rsidP="00A24569">
            <w:pPr>
              <w:pStyle w:val="TableParagraph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0F0F86" w:rsidRPr="00697166" w:rsidRDefault="000F0F86" w:rsidP="00A245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0F0F86" w:rsidRPr="00EC7A68" w:rsidRDefault="000F0F86" w:rsidP="00A24569">
            <w:pPr>
              <w:pStyle w:val="TableParagraph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0F0F86" w:rsidRDefault="000F0F86">
      <w:bookmarkStart w:id="0" w:name="_GoBack"/>
      <w:bookmarkEnd w:id="0"/>
    </w:p>
    <w:sectPr w:rsidR="000F0F86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907" w:bottom="907" w:left="907" w:header="907" w:footer="907" w:gutter="28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36" w:rsidRDefault="007E4336">
      <w:pPr>
        <w:spacing w:after="0" w:line="240" w:lineRule="auto"/>
      </w:pPr>
      <w:r>
        <w:separator/>
      </w:r>
    </w:p>
  </w:endnote>
  <w:endnote w:type="continuationSeparator" w:id="0">
    <w:p w:rsidR="007E4336" w:rsidRDefault="007E4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F0F86" w:rsidP="000F0F86">
    <w:pPr>
      <w:jc w:val="right"/>
    </w:pPr>
    <w:sdt>
      <w:sdtPr>
        <w:id w:val="1619175062"/>
        <w:docPartObj>
          <w:docPartGallery w:val="Page Numbers (Bottom of Page)"/>
          <w:docPartUnique/>
        </w:docPartObj>
      </w:sdtPr>
      <w:sdtContent>
        <w:r w:rsidRPr="0071613A">
          <w:rPr>
            <w:b/>
          </w:rPr>
          <w:t>CUADRO DE MAQUINARIA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  <w:r w:rsidRPr="000F0F86">
      <w:t xml:space="preserve"> </w:t>
    </w:r>
    <w:r w:rsidR="007E4336" w:rsidRPr="000F0F86"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0F0F86" w:rsidP="000F0F86">
    <w:pPr>
      <w:jc w:val="right"/>
    </w:pPr>
    <w:sdt>
      <w:sdtPr>
        <w:id w:val="-1641958519"/>
        <w:docPartObj>
          <w:docPartGallery w:val="Page Numbers (Bottom of Page)"/>
          <w:docPartUnique/>
        </w:docPartObj>
      </w:sdtPr>
      <w:sdtContent>
        <w:r w:rsidRPr="0071613A">
          <w:rPr>
            <w:b/>
          </w:rPr>
          <w:t>CUADRO DE MAQUINARIA</w: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sdtContent>
    </w:sdt>
    <w:r w:rsidRPr="000F0F86">
      <w:t xml:space="preserve"> </w:t>
    </w:r>
    <w:r w:rsidR="007E4336" w:rsidRPr="000F0F86"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36" w:rsidRDefault="007E4336">
      <w:pPr>
        <w:spacing w:after="0" w:line="240" w:lineRule="auto"/>
      </w:pPr>
      <w:r>
        <w:separator/>
      </w:r>
    </w:p>
  </w:footnote>
  <w:footnote w:type="continuationSeparator" w:id="0">
    <w:p w:rsidR="007E4336" w:rsidRDefault="007E43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054"/>
      <w:gridCol w:w="420"/>
      <w:gridCol w:w="1451"/>
    </w:tblGrid>
    <w:tr w:rsidR="00CE2FA7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0F0F86" w:rsidP="000F0F86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b/>
              <w:sz w:val="18"/>
            </w:rPr>
            <w:t>CUADRO DE MAQUINARIA</w:t>
          </w:r>
        </w:p>
      </w:tc>
      <w:tc>
        <w:tcPr>
          <w:tcW w:w="4065" w:type="dxa"/>
          <w:gridSpan w:val="4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Importe</w:t>
          </w:r>
        </w:p>
      </w:tc>
    </w:tr>
    <w:tr w:rsidR="00CE2FA7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Precio</w:t>
          </w:r>
        </w:p>
      </w:tc>
      <w:tc>
        <w:tcPr>
          <w:tcW w:w="1474" w:type="dxa"/>
          <w:gridSpan w:val="2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Cantidad</w:t>
          </w:r>
        </w:p>
      </w:tc>
      <w:tc>
        <w:tcPr>
          <w:tcW w:w="1451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Total</w:t>
          </w:r>
        </w:p>
      </w:tc>
    </w:tr>
    <w:tr w:rsidR="00CE2FA7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 )</w:t>
          </w:r>
        </w:p>
      </w:tc>
      <w:tc>
        <w:tcPr>
          <w:tcW w:w="1054" w:type="dxa"/>
          <w:tcBorders>
            <w:left w:val="single" w:sz="2" w:space="0" w:color="000000"/>
            <w:bottom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Borders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51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(€)</w:t>
          </w:r>
        </w:p>
      </w:tc>
    </w:tr>
  </w:tbl>
  <w:p w:rsidR="00CE2FA7" w:rsidRDefault="00CE2FA7">
    <w:pPr>
      <w:spacing w:after="0" w:line="2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02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05"/>
      <w:gridCol w:w="1417"/>
      <w:gridCol w:w="3815"/>
      <w:gridCol w:w="1140"/>
      <w:gridCol w:w="1054"/>
      <w:gridCol w:w="420"/>
      <w:gridCol w:w="1451"/>
    </w:tblGrid>
    <w:tr w:rsidR="00CE2FA7">
      <w:trPr>
        <w:cantSplit/>
      </w:trPr>
      <w:tc>
        <w:tcPr>
          <w:tcW w:w="50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0F0F86" w:rsidP="000F0F86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b/>
              <w:sz w:val="18"/>
            </w:rPr>
            <w:t>CUADRO DE MAQUINARIA</w:t>
          </w:r>
        </w:p>
      </w:tc>
      <w:tc>
        <w:tcPr>
          <w:tcW w:w="4065" w:type="dxa"/>
          <w:gridSpan w:val="4"/>
          <w:tcBorders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Importe</w:t>
          </w:r>
        </w:p>
      </w:tc>
    </w:tr>
    <w:tr w:rsidR="00CE2FA7">
      <w:trPr>
        <w:cantSplit/>
      </w:trPr>
      <w:tc>
        <w:tcPr>
          <w:tcW w:w="50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Nº</w:t>
          </w:r>
        </w:p>
      </w:tc>
      <w:tc>
        <w:tcPr>
          <w:tcW w:w="1417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Código</w:t>
          </w:r>
        </w:p>
      </w:tc>
      <w:tc>
        <w:tcPr>
          <w:tcW w:w="3815" w:type="dxa"/>
          <w:tcBorders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Designación</w:t>
          </w:r>
        </w:p>
      </w:tc>
      <w:tc>
        <w:tcPr>
          <w:tcW w:w="1140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Precio</w:t>
          </w:r>
        </w:p>
      </w:tc>
      <w:tc>
        <w:tcPr>
          <w:tcW w:w="1474" w:type="dxa"/>
          <w:gridSpan w:val="2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Cantidad</w:t>
          </w:r>
        </w:p>
      </w:tc>
      <w:tc>
        <w:tcPr>
          <w:tcW w:w="1451" w:type="dxa"/>
          <w:tcBorders>
            <w:top w:val="single" w:sz="2" w:space="0" w:color="000000"/>
            <w:left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Total</w:t>
          </w:r>
        </w:p>
      </w:tc>
    </w:tr>
    <w:tr w:rsidR="00CE2FA7">
      <w:trPr>
        <w:cantSplit/>
      </w:trPr>
      <w:tc>
        <w:tcPr>
          <w:tcW w:w="50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17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3815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140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 )</w:t>
          </w:r>
        </w:p>
      </w:tc>
      <w:tc>
        <w:tcPr>
          <w:tcW w:w="1054" w:type="dxa"/>
          <w:tcBorders>
            <w:left w:val="single" w:sz="2" w:space="0" w:color="000000"/>
            <w:bottom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420" w:type="dxa"/>
          <w:tcBorders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0" w:line="240" w:lineRule="auto"/>
            <w:rPr>
              <w:rFonts w:ascii="Verdana" w:hAnsi="Verdana" w:cs="Verdana"/>
              <w:sz w:val="18"/>
            </w:rPr>
          </w:pPr>
          <w:r>
            <w:rPr>
              <w:rFonts w:ascii="Verdana" w:hAnsi="Verdana" w:cs="Verdana"/>
              <w:sz w:val="18"/>
            </w:rPr>
            <w:t xml:space="preserve"> </w:t>
          </w:r>
        </w:p>
      </w:tc>
      <w:tc>
        <w:tcPr>
          <w:tcW w:w="1451" w:type="dxa"/>
          <w:tcBorders>
            <w:left w:val="single" w:sz="2" w:space="0" w:color="000000"/>
            <w:bottom w:val="single" w:sz="2" w:space="0" w:color="000000"/>
            <w:right w:val="single" w:sz="2" w:space="0" w:color="000000"/>
          </w:tcBorders>
          <w:shd w:val="clear" w:color="auto" w:fill="E0E0E0"/>
          <w:noWrap/>
        </w:tcPr>
        <w:p w:rsidR="00CE2FA7" w:rsidRDefault="007E4336">
          <w:pPr>
            <w:spacing w:after="120" w:line="240" w:lineRule="auto"/>
            <w:jc w:val="center"/>
            <w:rPr>
              <w:rFonts w:ascii="Century Gothic" w:hAnsi="Century Gothic" w:cs="Century Gothic"/>
              <w:sz w:val="16"/>
            </w:rPr>
          </w:pPr>
          <w:r>
            <w:rPr>
              <w:rFonts w:ascii="Century Gothic" w:hAnsi="Century Gothic" w:cs="Century Gothic"/>
              <w:sz w:val="16"/>
            </w:rPr>
            <w:t>(€)</w:t>
          </w:r>
        </w:p>
      </w:tc>
    </w:tr>
  </w:tbl>
  <w:p w:rsidR="00CE2FA7" w:rsidRDefault="00CE2FA7">
    <w:pPr>
      <w:spacing w:after="0" w:line="2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E2FA7"/>
    <w:rsid w:val="000F0F86"/>
    <w:rsid w:val="007E4336"/>
    <w:rsid w:val="00CE2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BE3F016"/>
  <w15:docId w15:val="{7808F26F-AA27-40E7-876B-8EC2F6B09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0F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0F86"/>
  </w:style>
  <w:style w:type="paragraph" w:styleId="Piedepgina">
    <w:name w:val="footer"/>
    <w:basedOn w:val="Normal"/>
    <w:link w:val="PiedepginaCar"/>
    <w:uiPriority w:val="99"/>
    <w:unhideWhenUsed/>
    <w:rsid w:val="000F0F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0F86"/>
  </w:style>
  <w:style w:type="paragraph" w:customStyle="1" w:styleId="TableParagraph">
    <w:name w:val="Table Paragraph"/>
    <w:basedOn w:val="Normal"/>
    <w:uiPriority w:val="1"/>
    <w:qFormat/>
    <w:rsid w:val="000F0F86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1074</Words>
  <Characters>5909</Characters>
  <Application>Microsoft Office Word</Application>
  <DocSecurity>0</DocSecurity>
  <Lines>49</Lines>
  <Paragraphs>13</Paragraphs>
  <ScaleCrop>false</ScaleCrop>
  <Company/>
  <LinksUpToDate>false</LinksUpToDate>
  <CharactersWithSpaces>6970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2023-03-07T15:04:00Z</dcterms:created>
  <dcterms:modified xsi:type="dcterms:W3CDTF">2023-03-07T15:05:00Z</dcterms:modified>
</cp:coreProperties>
</file>